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862" w:rsidRPr="00B53862" w:rsidRDefault="00B53862" w:rsidP="00B53862">
      <w:pPr>
        <w:rPr>
          <w:rFonts w:ascii="Times New Roman" w:hAnsi="Times New Roman"/>
          <w:sz w:val="22"/>
        </w:rPr>
      </w:pPr>
      <w:r w:rsidRPr="00B53862">
        <w:rPr>
          <w:rFonts w:ascii="Times New Roman" w:hAnsi="Times New Roman"/>
          <w:sz w:val="22"/>
        </w:rPr>
        <w:t xml:space="preserve">R. </w:t>
      </w:r>
      <w:proofErr w:type="spellStart"/>
      <w:r w:rsidRPr="00B53862">
        <w:rPr>
          <w:rFonts w:ascii="Times New Roman" w:hAnsi="Times New Roman"/>
          <w:sz w:val="22"/>
        </w:rPr>
        <w:t>Hirschl</w:t>
      </w:r>
      <w:proofErr w:type="spellEnd"/>
      <w:r w:rsidRPr="00B53862">
        <w:rPr>
          <w:rFonts w:ascii="Times New Roman" w:hAnsi="Times New Roman"/>
          <w:sz w:val="22"/>
        </w:rPr>
        <w:t xml:space="preserve">, “Constitutional Rights Jurisprudence in Canada and the United States: Significant Convergence or Enduring Divergence?” in S.L. Newman, ed. </w:t>
      </w:r>
      <w:r w:rsidRPr="00B53862">
        <w:rPr>
          <w:rFonts w:ascii="Times New Roman" w:hAnsi="Times New Roman"/>
          <w:i/>
          <w:sz w:val="22"/>
        </w:rPr>
        <w:t xml:space="preserve">Constitutional Politics in Canada and the United States </w:t>
      </w:r>
      <w:r w:rsidRPr="00B53862">
        <w:rPr>
          <w:rFonts w:ascii="Times New Roman" w:hAnsi="Times New Roman"/>
          <w:sz w:val="22"/>
        </w:rPr>
        <w:t>(Albany SUNY Press, 2004)***</w:t>
      </w:r>
    </w:p>
    <w:p w:rsidR="00B53862" w:rsidRPr="00B53862" w:rsidRDefault="00B53862" w:rsidP="00B53862">
      <w:pPr>
        <w:rPr>
          <w:rFonts w:ascii="Times New Roman" w:hAnsi="Times New Roman"/>
          <w:b/>
          <w:sz w:val="22"/>
        </w:rPr>
      </w:pPr>
      <w:r w:rsidRPr="00B53862">
        <w:rPr>
          <w:rFonts w:ascii="Times New Roman" w:hAnsi="Times New Roman"/>
          <w:b/>
          <w:sz w:val="22"/>
        </w:rPr>
        <w:t>Overview</w:t>
      </w:r>
    </w:p>
    <w:p w:rsidR="00B53862" w:rsidRPr="00B53862" w:rsidRDefault="00B53862" w:rsidP="00B53862">
      <w:pPr>
        <w:rPr>
          <w:rFonts w:ascii="Times New Roman" w:hAnsi="Times New Roman"/>
          <w:sz w:val="22"/>
        </w:rPr>
      </w:pPr>
      <w:proofErr w:type="spellStart"/>
      <w:r w:rsidRPr="00B53862">
        <w:rPr>
          <w:rFonts w:ascii="Times New Roman" w:hAnsi="Times New Roman"/>
          <w:sz w:val="22"/>
        </w:rPr>
        <w:t>Hirschl</w:t>
      </w:r>
      <w:proofErr w:type="spellEnd"/>
      <w:r w:rsidRPr="00B53862">
        <w:rPr>
          <w:rFonts w:ascii="Times New Roman" w:hAnsi="Times New Roman"/>
          <w:sz w:val="22"/>
        </w:rPr>
        <w:t xml:space="preserve"> makes 3 points: (1) over the past two decades, the rights jurisprudence of the two countries has converged rapidly in matters dealing with negative rights; (2) a more moderate (albeit significant) convergence has developed over past few years with respect to the two countries judicial interpretation of positive entitlements (SCC has excluded positive social welfare rights from ambit of Charter, though to a lesser degree than US counterpart); and (3) in spite of powerful centripetal forces of convergence, there remains a significant differences btw two countries’ constitutional rights adjudication with respect to group rights. Certain group rights – minority language and education rights, aboriginal peoples’ rights, and affirmative action guarantees – have been awarded wider constitutional recognition and a more generous judicial interpretation in Canada.</w:t>
      </w:r>
    </w:p>
    <w:p w:rsidR="00B53862" w:rsidRPr="00B53862" w:rsidRDefault="00B53862" w:rsidP="00B53862">
      <w:pPr>
        <w:rPr>
          <w:rFonts w:ascii="Times New Roman" w:hAnsi="Times New Roman"/>
          <w:sz w:val="22"/>
        </w:rPr>
      </w:pPr>
      <w:r w:rsidRPr="00B53862">
        <w:rPr>
          <w:rFonts w:ascii="Times New Roman" w:hAnsi="Times New Roman"/>
          <w:b/>
          <w:sz w:val="22"/>
        </w:rPr>
        <w:t>Background</w:t>
      </w:r>
    </w:p>
    <w:p w:rsidR="00B53862" w:rsidRPr="00B53862" w:rsidRDefault="00B53862" w:rsidP="00B53862">
      <w:pPr>
        <w:pStyle w:val="ListParagraph"/>
        <w:numPr>
          <w:ilvl w:val="0"/>
          <w:numId w:val="2"/>
        </w:numPr>
        <w:rPr>
          <w:rFonts w:ascii="Times New Roman" w:hAnsi="Times New Roman"/>
          <w:sz w:val="22"/>
        </w:rPr>
      </w:pPr>
      <w:r w:rsidRPr="00B53862">
        <w:rPr>
          <w:rFonts w:ascii="Times New Roman" w:hAnsi="Times New Roman"/>
          <w:sz w:val="22"/>
        </w:rPr>
        <w:t>Few would disagree that Charter marked dramatic change in de jure status of rights and liberties in Canada, and provided SCC with necessary institutional framework to become more effective in its efforts to protect the basic rights of disadvantaged groups and individuals</w:t>
      </w:r>
    </w:p>
    <w:p w:rsidR="00B53862" w:rsidRPr="00B53862" w:rsidRDefault="00B53862" w:rsidP="00B53862">
      <w:pPr>
        <w:pStyle w:val="ListParagraph"/>
        <w:numPr>
          <w:ilvl w:val="0"/>
          <w:numId w:val="2"/>
        </w:numPr>
        <w:rPr>
          <w:rFonts w:ascii="Times New Roman" w:hAnsi="Times New Roman"/>
          <w:sz w:val="22"/>
        </w:rPr>
      </w:pPr>
      <w:r w:rsidRPr="00B53862">
        <w:rPr>
          <w:rFonts w:ascii="Times New Roman" w:hAnsi="Times New Roman"/>
          <w:sz w:val="22"/>
        </w:rPr>
        <w:t>Political theorists draw lines between negative rights (freedom from), positive rights (freedom for/to, basic social rights), and collective rights</w:t>
      </w:r>
    </w:p>
    <w:p w:rsidR="00B53862" w:rsidRPr="00B53862" w:rsidRDefault="00B53862" w:rsidP="00B53862">
      <w:pPr>
        <w:pStyle w:val="ListParagraph"/>
        <w:numPr>
          <w:ilvl w:val="0"/>
          <w:numId w:val="2"/>
        </w:numPr>
        <w:rPr>
          <w:rFonts w:ascii="Times New Roman" w:hAnsi="Times New Roman"/>
          <w:sz w:val="22"/>
        </w:rPr>
      </w:pPr>
      <w:r w:rsidRPr="00B53862">
        <w:rPr>
          <w:rFonts w:ascii="Times New Roman" w:hAnsi="Times New Roman"/>
          <w:sz w:val="22"/>
        </w:rPr>
        <w:t xml:space="preserve">Analysis really focuses on post-Charter convergence/divergence trends </w:t>
      </w:r>
    </w:p>
    <w:p w:rsidR="00B53862" w:rsidRPr="00B53862" w:rsidRDefault="00B53862" w:rsidP="00B53862">
      <w:pPr>
        <w:rPr>
          <w:rFonts w:ascii="Times New Roman" w:hAnsi="Times New Roman"/>
          <w:b/>
          <w:sz w:val="22"/>
        </w:rPr>
      </w:pPr>
      <w:r w:rsidRPr="00B53862">
        <w:rPr>
          <w:rFonts w:ascii="Times New Roman" w:hAnsi="Times New Roman"/>
          <w:b/>
          <w:sz w:val="22"/>
        </w:rPr>
        <w:t>Conclusion</w:t>
      </w:r>
    </w:p>
    <w:p w:rsidR="00B53862" w:rsidRPr="00B53862" w:rsidRDefault="00B53862" w:rsidP="00B53862">
      <w:pPr>
        <w:pStyle w:val="ListParagraph"/>
        <w:numPr>
          <w:ilvl w:val="0"/>
          <w:numId w:val="1"/>
        </w:numPr>
        <w:rPr>
          <w:rFonts w:ascii="Times New Roman" w:hAnsi="Times New Roman"/>
          <w:sz w:val="22"/>
        </w:rPr>
      </w:pPr>
      <w:proofErr w:type="spellStart"/>
      <w:r w:rsidRPr="00B53862">
        <w:rPr>
          <w:rFonts w:ascii="Times New Roman" w:hAnsi="Times New Roman"/>
          <w:sz w:val="22"/>
        </w:rPr>
        <w:t>Cdn</w:t>
      </w:r>
      <w:proofErr w:type="spellEnd"/>
      <w:r w:rsidRPr="00B53862">
        <w:rPr>
          <w:rFonts w:ascii="Times New Roman" w:hAnsi="Times New Roman"/>
          <w:sz w:val="22"/>
        </w:rPr>
        <w:t xml:space="preserve"> constitutional rights revolution still in its formative stages (esp. when compared to US). Yet a few conclusions can be drawn from the chapter: </w:t>
      </w:r>
    </w:p>
    <w:p w:rsidR="00B53862" w:rsidRPr="00B53862" w:rsidRDefault="00B53862" w:rsidP="00B53862">
      <w:pPr>
        <w:pStyle w:val="ListParagraph"/>
        <w:numPr>
          <w:ilvl w:val="1"/>
          <w:numId w:val="1"/>
        </w:numPr>
        <w:rPr>
          <w:rFonts w:ascii="Times New Roman" w:hAnsi="Times New Roman"/>
          <w:sz w:val="22"/>
        </w:rPr>
      </w:pPr>
      <w:r w:rsidRPr="00B53862">
        <w:rPr>
          <w:rFonts w:ascii="Times New Roman" w:hAnsi="Times New Roman"/>
          <w:sz w:val="22"/>
        </w:rPr>
        <w:t xml:space="preserve">Given the rapid ‘Americanization’ of </w:t>
      </w:r>
      <w:proofErr w:type="spellStart"/>
      <w:r w:rsidRPr="00B53862">
        <w:rPr>
          <w:rFonts w:ascii="Times New Roman" w:hAnsi="Times New Roman"/>
          <w:sz w:val="22"/>
        </w:rPr>
        <w:t>Cdn</w:t>
      </w:r>
      <w:proofErr w:type="spellEnd"/>
      <w:r w:rsidRPr="00B53862">
        <w:rPr>
          <w:rFonts w:ascii="Times New Roman" w:hAnsi="Times New Roman"/>
          <w:sz w:val="22"/>
        </w:rPr>
        <w:t xml:space="preserve"> politics, society, and mass culture – NAFTA, </w:t>
      </w:r>
      <w:proofErr w:type="spellStart"/>
      <w:r w:rsidRPr="00B53862">
        <w:rPr>
          <w:rFonts w:ascii="Times New Roman" w:hAnsi="Times New Roman"/>
          <w:sz w:val="22"/>
        </w:rPr>
        <w:t>neoliberalization</w:t>
      </w:r>
      <w:proofErr w:type="spellEnd"/>
      <w:r w:rsidRPr="00B53862">
        <w:rPr>
          <w:rFonts w:ascii="Times New Roman" w:hAnsi="Times New Roman"/>
          <w:sz w:val="22"/>
        </w:rPr>
        <w:t xml:space="preserve">, and (most importantly) the 1982 </w:t>
      </w:r>
      <w:proofErr w:type="spellStart"/>
      <w:r w:rsidRPr="00B53862">
        <w:rPr>
          <w:rFonts w:ascii="Times New Roman" w:hAnsi="Times New Roman"/>
          <w:sz w:val="22"/>
        </w:rPr>
        <w:t>constitutionalization</w:t>
      </w:r>
      <w:proofErr w:type="spellEnd"/>
      <w:r w:rsidRPr="00B53862">
        <w:rPr>
          <w:rFonts w:ascii="Times New Roman" w:hAnsi="Times New Roman"/>
          <w:sz w:val="22"/>
        </w:rPr>
        <w:t xml:space="preserve"> of rights and fortification of judicial review in Canada – the gradual convergence of rights discourses in US and Canada is inevitable </w:t>
      </w:r>
    </w:p>
    <w:p w:rsidR="00B53862" w:rsidRPr="00B53862" w:rsidRDefault="00B53862" w:rsidP="00B53862">
      <w:pPr>
        <w:pStyle w:val="ListParagraph"/>
        <w:numPr>
          <w:ilvl w:val="1"/>
          <w:numId w:val="1"/>
        </w:numPr>
        <w:rPr>
          <w:rFonts w:ascii="Times New Roman" w:hAnsi="Times New Roman"/>
          <w:sz w:val="22"/>
        </w:rPr>
      </w:pPr>
      <w:r w:rsidRPr="00B53862">
        <w:rPr>
          <w:rFonts w:ascii="Times New Roman" w:hAnsi="Times New Roman"/>
          <w:sz w:val="22"/>
        </w:rPr>
        <w:t>Brief analysis of 2 countries’ records on constitutional rights jurisprudence reveals common tendency to adopt a narrow conception of rights – such that as far as negative rights are concerned, the judicial interpretation of rights is inclined to be more generous and thus plant the seeds of social change</w:t>
      </w:r>
    </w:p>
    <w:p w:rsidR="00B53862" w:rsidRPr="00B53862" w:rsidRDefault="00B53862" w:rsidP="00B53862">
      <w:pPr>
        <w:pStyle w:val="ListParagraph"/>
        <w:numPr>
          <w:ilvl w:val="1"/>
          <w:numId w:val="1"/>
        </w:numPr>
        <w:rPr>
          <w:rFonts w:ascii="Times New Roman" w:hAnsi="Times New Roman"/>
          <w:sz w:val="22"/>
        </w:rPr>
      </w:pPr>
      <w:r w:rsidRPr="00B53862">
        <w:rPr>
          <w:rFonts w:ascii="Times New Roman" w:hAnsi="Times New Roman"/>
          <w:sz w:val="22"/>
        </w:rPr>
        <w:t xml:space="preserve">In spite of broad and rapid convergence of US and </w:t>
      </w:r>
      <w:proofErr w:type="spellStart"/>
      <w:r w:rsidRPr="00B53862">
        <w:rPr>
          <w:rFonts w:ascii="Times New Roman" w:hAnsi="Times New Roman"/>
          <w:sz w:val="22"/>
        </w:rPr>
        <w:t>Cdn</w:t>
      </w:r>
      <w:proofErr w:type="spellEnd"/>
      <w:r w:rsidRPr="00B53862">
        <w:rPr>
          <w:rFonts w:ascii="Times New Roman" w:hAnsi="Times New Roman"/>
          <w:sz w:val="22"/>
        </w:rPr>
        <w:t xml:space="preserve"> rights discourses, deeply entrenched differences btw the 2 countries’ social, cultural, and political legacies continue to promote divergence in the 2 countries’ constitutional recognition and judicial interpretation of group rights. </w:t>
      </w:r>
    </w:p>
    <w:p w:rsidR="00B53862" w:rsidRPr="00B53862" w:rsidRDefault="00B53862" w:rsidP="00B53862">
      <w:pPr>
        <w:ind w:left="1080"/>
        <w:rPr>
          <w:rFonts w:ascii="Times New Roman" w:hAnsi="Times New Roman"/>
          <w:sz w:val="22"/>
        </w:rPr>
      </w:pPr>
    </w:p>
    <w:p w:rsidR="00B53862" w:rsidRPr="00B53862" w:rsidRDefault="00B53862" w:rsidP="00B53862">
      <w:pPr>
        <w:pStyle w:val="ListParagraph"/>
      </w:pPr>
    </w:p>
    <w:p w:rsidR="00B53862" w:rsidRDefault="00B53862"/>
    <w:sectPr w:rsidR="00B53862" w:rsidSect="00B53862">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23DA7"/>
    <w:multiLevelType w:val="hybridMultilevel"/>
    <w:tmpl w:val="073CE404"/>
    <w:lvl w:ilvl="0" w:tplc="FB70888C">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D92333"/>
    <w:multiLevelType w:val="hybridMultilevel"/>
    <w:tmpl w:val="146A8A70"/>
    <w:lvl w:ilvl="0" w:tplc="FB70888C">
      <w:start w:val="18"/>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53862"/>
    <w:rsid w:val="00B5386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5386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2012-05-04T00:12:00Z</dcterms:created>
  <dcterms:modified xsi:type="dcterms:W3CDTF">2012-05-04T00:33:00Z</dcterms:modified>
</cp:coreProperties>
</file>